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00BE" w14:textId="23A385C5" w:rsidR="00843285" w:rsidRPr="00843285" w:rsidRDefault="00843285" w:rsidP="00843285">
      <w:pPr>
        <w:tabs>
          <w:tab w:val="center" w:pos="5400"/>
        </w:tabs>
        <w:rPr>
          <w:rFonts w:ascii="Arial Black" w:hAnsi="Arial Black"/>
          <w:sz w:val="28"/>
          <w:lang w:val="fr-CA"/>
        </w:rPr>
      </w:pPr>
      <w:r w:rsidRPr="00843285">
        <w:rPr>
          <w:rFonts w:ascii="Arial Black" w:hAnsi="Arial Black"/>
          <w:sz w:val="28"/>
          <w:lang w:val="fr-CA"/>
        </w:rPr>
        <w:drawing>
          <wp:anchor distT="0" distB="0" distL="114300" distR="114300" simplePos="0" relativeHeight="251658240" behindDoc="0" locked="0" layoutInCell="1" allowOverlap="1" wp14:anchorId="3B382897" wp14:editId="7B2C1B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6325" cy="737681"/>
            <wp:effectExtent l="0" t="0" r="0" b="0"/>
            <wp:wrapSquare wrapText="bothSides"/>
            <wp:docPr id="1281268765" name="Image 1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268765" name="Image 1" descr="Une image contenant texte, Polic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3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F46946" w14:textId="6EF817BE" w:rsidR="00972889" w:rsidRPr="00843285" w:rsidRDefault="00E73A7E" w:rsidP="00843285">
      <w:pPr>
        <w:tabs>
          <w:tab w:val="center" w:pos="5400"/>
        </w:tabs>
        <w:rPr>
          <w:rFonts w:ascii="Arial Black" w:hAnsi="Arial Black"/>
          <w:sz w:val="32"/>
          <w:szCs w:val="32"/>
          <w:lang w:val="fr-FR"/>
        </w:rPr>
      </w:pPr>
      <w:r w:rsidRPr="00843285">
        <w:rPr>
          <w:rFonts w:ascii="Arial Black" w:hAnsi="Arial Black"/>
          <w:sz w:val="32"/>
          <w:szCs w:val="32"/>
          <w:lang w:val="fr-FR"/>
        </w:rPr>
        <w:t>Formulaire de con</w:t>
      </w:r>
      <w:r w:rsidR="00C66F79" w:rsidRPr="00843285">
        <w:rPr>
          <w:rFonts w:ascii="Arial Black" w:hAnsi="Arial Black"/>
          <w:sz w:val="32"/>
          <w:szCs w:val="32"/>
          <w:lang w:val="fr-FR"/>
        </w:rPr>
        <w:t xml:space="preserve">sentement à l’administration </w:t>
      </w:r>
    </w:p>
    <w:p w14:paraId="7EF46949" w14:textId="1ED1AD01" w:rsidR="00F835BB" w:rsidRPr="00843285" w:rsidRDefault="00B9217B" w:rsidP="00843285">
      <w:pPr>
        <w:jc w:val="center"/>
        <w:rPr>
          <w:rFonts w:ascii="Arial Black" w:hAnsi="Arial Black"/>
          <w:sz w:val="32"/>
          <w:szCs w:val="32"/>
          <w:lang w:val="fr-FR"/>
        </w:rPr>
      </w:pPr>
      <w:proofErr w:type="gramStart"/>
      <w:r w:rsidRPr="00843285">
        <w:rPr>
          <w:rFonts w:ascii="Arial Black" w:hAnsi="Arial Black"/>
          <w:sz w:val="32"/>
          <w:szCs w:val="32"/>
          <w:lang w:val="fr-FR"/>
        </w:rPr>
        <w:t>de</w:t>
      </w:r>
      <w:proofErr w:type="gramEnd"/>
      <w:r w:rsidRPr="00843285">
        <w:rPr>
          <w:rFonts w:ascii="Arial Black" w:hAnsi="Arial Black"/>
          <w:sz w:val="32"/>
          <w:szCs w:val="32"/>
          <w:lang w:val="fr-FR"/>
        </w:rPr>
        <w:t xml:space="preserve"> </w:t>
      </w:r>
      <w:r w:rsidR="00972889" w:rsidRPr="00843285">
        <w:rPr>
          <w:rFonts w:ascii="Arial Black" w:hAnsi="Arial Black"/>
          <w:sz w:val="32"/>
          <w:szCs w:val="32"/>
          <w:lang w:val="fr-FR"/>
        </w:rPr>
        <w:t xml:space="preserve">plasma riche en plaquettes </w:t>
      </w:r>
    </w:p>
    <w:p w14:paraId="6C365372" w14:textId="77777777" w:rsidR="00843285" w:rsidRDefault="00843285" w:rsidP="00E73A7E">
      <w:pPr>
        <w:rPr>
          <w:rFonts w:ascii="AR CENA" w:hAnsi="AR CENA"/>
          <w:sz w:val="32"/>
          <w:lang w:val="fr-FR"/>
        </w:rPr>
      </w:pPr>
    </w:p>
    <w:p w14:paraId="7EF4694A" w14:textId="6CE6C592" w:rsidR="00E73A7E" w:rsidRPr="006C4BAB" w:rsidRDefault="00E90414" w:rsidP="00E73A7E">
      <w:pPr>
        <w:rPr>
          <w:rFonts w:ascii="AR CENA" w:hAnsi="AR CENA"/>
          <w:sz w:val="32"/>
          <w:lang w:val="fr-FR"/>
        </w:rPr>
      </w:pPr>
      <w:r w:rsidRPr="005D6FB9">
        <w:rPr>
          <w:rFonts w:ascii="AR CENA" w:hAnsi="AR CENA"/>
          <w:sz w:val="32"/>
          <w:lang w:val="fr-FR"/>
        </w:rPr>
        <w:t xml:space="preserve"> </w:t>
      </w:r>
      <w:r w:rsidR="0012449C" w:rsidRPr="00A15CFD">
        <w:rPr>
          <w:rFonts w:ascii="Rockwell Extra Bold" w:hAnsi="Rockwell Extra Bold"/>
          <w:sz w:val="28"/>
          <w:lang w:val="fr-FR"/>
        </w:rPr>
        <w:t>Les produits et les traitements</w:t>
      </w:r>
      <w:r w:rsidR="00A15CFD" w:rsidRPr="00A15CFD">
        <w:rPr>
          <w:rFonts w:ascii="Rockwell Extra Bold" w:hAnsi="Rockwell Extra Bold"/>
          <w:sz w:val="28"/>
          <w:lang w:val="fr-FR"/>
        </w:rPr>
        <w:t> </w:t>
      </w:r>
    </w:p>
    <w:p w14:paraId="7EF4694B" w14:textId="77777777" w:rsidR="00B9217B" w:rsidRPr="00B9217B" w:rsidRDefault="00B9217B" w:rsidP="00B9217B">
      <w:pPr>
        <w:rPr>
          <w:sz w:val="24"/>
          <w:szCs w:val="24"/>
          <w:lang w:val="fr-FR"/>
        </w:rPr>
      </w:pPr>
    </w:p>
    <w:p w14:paraId="7EF4694C" w14:textId="77777777" w:rsidR="00972889" w:rsidRDefault="00972889" w:rsidP="00F835BB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972889">
        <w:rPr>
          <w:sz w:val="24"/>
          <w:szCs w:val="24"/>
          <w:lang w:val="fr-FR"/>
        </w:rPr>
        <w:t>Ce traitement cons</w:t>
      </w:r>
      <w:r>
        <w:rPr>
          <w:sz w:val="24"/>
          <w:szCs w:val="24"/>
          <w:lang w:val="fr-FR"/>
        </w:rPr>
        <w:t xml:space="preserve">iste à prélever un petit  échantillon du sang du patient </w:t>
      </w:r>
      <w:r w:rsidR="00DE096D">
        <w:rPr>
          <w:sz w:val="24"/>
          <w:szCs w:val="24"/>
          <w:lang w:val="fr-FR"/>
        </w:rPr>
        <w:t xml:space="preserve">selon une méthode stérile et,  </w:t>
      </w:r>
      <w:r>
        <w:rPr>
          <w:sz w:val="24"/>
          <w:szCs w:val="24"/>
          <w:lang w:val="fr-FR"/>
        </w:rPr>
        <w:t>par processus de centrifugation, en séparer les globules rouges des autres composantes. Cel</w:t>
      </w:r>
      <w:r w:rsidR="00DA3227">
        <w:rPr>
          <w:sz w:val="24"/>
          <w:szCs w:val="24"/>
          <w:lang w:val="fr-FR"/>
        </w:rPr>
        <w:t>le</w:t>
      </w:r>
      <w:r w:rsidR="00DE096D">
        <w:rPr>
          <w:sz w:val="24"/>
          <w:szCs w:val="24"/>
          <w:lang w:val="fr-FR"/>
        </w:rPr>
        <w:t>s</w:t>
      </w:r>
      <w:r w:rsidR="00DA3227">
        <w:rPr>
          <w:sz w:val="24"/>
          <w:szCs w:val="24"/>
          <w:lang w:val="fr-FR"/>
        </w:rPr>
        <w:t xml:space="preserve">-ci </w:t>
      </w:r>
      <w:r w:rsidR="00613C2A">
        <w:rPr>
          <w:sz w:val="24"/>
          <w:szCs w:val="24"/>
          <w:lang w:val="fr-FR"/>
        </w:rPr>
        <w:t>constitue</w:t>
      </w:r>
      <w:r w:rsidR="00DE096D">
        <w:rPr>
          <w:sz w:val="24"/>
          <w:szCs w:val="24"/>
          <w:lang w:val="fr-FR"/>
        </w:rPr>
        <w:t>nt</w:t>
      </w:r>
      <w:r w:rsidR="00DA3227">
        <w:rPr>
          <w:sz w:val="24"/>
          <w:szCs w:val="24"/>
          <w:lang w:val="fr-FR"/>
        </w:rPr>
        <w:t xml:space="preserve"> le plasma. </w:t>
      </w:r>
      <w:r w:rsidR="00DE096D">
        <w:rPr>
          <w:sz w:val="24"/>
          <w:szCs w:val="24"/>
          <w:lang w:val="fr-FR"/>
        </w:rPr>
        <w:t>Il</w:t>
      </w:r>
      <w:r w:rsidR="00DA3227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contient les plaquettes du sang </w:t>
      </w:r>
      <w:r w:rsidR="00DA3227">
        <w:rPr>
          <w:sz w:val="24"/>
          <w:szCs w:val="24"/>
          <w:lang w:val="fr-FR"/>
        </w:rPr>
        <w:t>et nombreuses protéines</w:t>
      </w:r>
      <w:r w:rsidR="007A6C38">
        <w:rPr>
          <w:sz w:val="24"/>
          <w:szCs w:val="24"/>
          <w:lang w:val="fr-FR"/>
        </w:rPr>
        <w:t>.</w:t>
      </w:r>
    </w:p>
    <w:p w14:paraId="7EF4694D" w14:textId="77777777" w:rsidR="007A6C38" w:rsidRDefault="007A6C38" w:rsidP="007A6C38">
      <w:pPr>
        <w:pStyle w:val="Paragraphedeliste"/>
        <w:ind w:left="360"/>
        <w:rPr>
          <w:sz w:val="24"/>
          <w:szCs w:val="24"/>
          <w:lang w:val="fr-FR"/>
        </w:rPr>
      </w:pPr>
    </w:p>
    <w:p w14:paraId="7EF4694E" w14:textId="77777777" w:rsidR="007A6C38" w:rsidRDefault="007A6C38" w:rsidP="007A6C38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plaquettes ont plusieurs fonctions. Elles favorisent la coagulation et aide</w:t>
      </w:r>
      <w:r w:rsidR="00EC63E6">
        <w:rPr>
          <w:sz w:val="24"/>
          <w:szCs w:val="24"/>
          <w:lang w:val="fr-FR"/>
        </w:rPr>
        <w:t>nt</w:t>
      </w:r>
      <w:r>
        <w:rPr>
          <w:sz w:val="24"/>
          <w:szCs w:val="24"/>
          <w:lang w:val="fr-FR"/>
        </w:rPr>
        <w:t xml:space="preserve"> à réparer les blessures vasculaires. Elles ont un rôle immunitaire et adhèrent aussi au collagène.</w:t>
      </w:r>
    </w:p>
    <w:p w14:paraId="7EF4694F" w14:textId="77777777" w:rsidR="007A6C38" w:rsidRPr="007A6C38" w:rsidRDefault="007A6C38" w:rsidP="007A6C38">
      <w:pPr>
        <w:rPr>
          <w:sz w:val="24"/>
          <w:szCs w:val="24"/>
          <w:lang w:val="fr-FR"/>
        </w:rPr>
      </w:pPr>
    </w:p>
    <w:p w14:paraId="7EF46950" w14:textId="77777777" w:rsidR="00DE096D" w:rsidRDefault="001F16E7" w:rsidP="00F835BB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 injections sont faites à la main ou avec un pistolet à injection ou avec un appareil destiné à la mésothérapie (injections dans le derme)</w:t>
      </w:r>
      <w:r w:rsidR="007A6C38">
        <w:rPr>
          <w:sz w:val="24"/>
          <w:szCs w:val="24"/>
          <w:lang w:val="fr-FR"/>
        </w:rPr>
        <w:t>.</w:t>
      </w:r>
      <w:r w:rsidR="004F349D">
        <w:rPr>
          <w:sz w:val="24"/>
          <w:szCs w:val="24"/>
          <w:lang w:val="fr-FR"/>
        </w:rPr>
        <w:t xml:space="preserve"> Les résultats </w:t>
      </w:r>
      <w:r w:rsidR="00AF182F">
        <w:rPr>
          <w:sz w:val="24"/>
          <w:szCs w:val="24"/>
          <w:lang w:val="fr-FR"/>
        </w:rPr>
        <w:t>prennent</w:t>
      </w:r>
      <w:r w:rsidR="004F349D">
        <w:rPr>
          <w:sz w:val="24"/>
          <w:szCs w:val="24"/>
          <w:lang w:val="fr-FR"/>
        </w:rPr>
        <w:t xml:space="preserve"> plu</w:t>
      </w:r>
      <w:r w:rsidR="00AF182F">
        <w:rPr>
          <w:sz w:val="24"/>
          <w:szCs w:val="24"/>
          <w:lang w:val="fr-FR"/>
        </w:rPr>
        <w:t>sieurs semaines à se manifester.</w:t>
      </w:r>
      <w:r w:rsidR="004F349D">
        <w:rPr>
          <w:sz w:val="24"/>
          <w:szCs w:val="24"/>
          <w:lang w:val="fr-FR"/>
        </w:rPr>
        <w:t xml:space="preserve">                </w:t>
      </w:r>
    </w:p>
    <w:p w14:paraId="7EF46951" w14:textId="77777777" w:rsidR="00DE096D" w:rsidRPr="007A6C38" w:rsidRDefault="001F16E7" w:rsidP="007A6C38">
      <w:pPr>
        <w:rPr>
          <w:sz w:val="24"/>
          <w:szCs w:val="24"/>
          <w:lang w:val="fr-FR"/>
        </w:rPr>
      </w:pPr>
      <w:r w:rsidRPr="00DE096D">
        <w:rPr>
          <w:sz w:val="24"/>
          <w:szCs w:val="24"/>
          <w:lang w:val="fr-FR"/>
        </w:rPr>
        <w:t> </w:t>
      </w:r>
    </w:p>
    <w:p w14:paraId="7EF46952" w14:textId="77777777" w:rsidR="00DE096D" w:rsidRDefault="00870AFF" w:rsidP="00DE096D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7A6C38">
        <w:rPr>
          <w:sz w:val="24"/>
          <w:szCs w:val="24"/>
          <w:lang w:val="fr-FR"/>
        </w:rPr>
        <w:t>Les traitements au PRP sont utilisés depuis nombr</w:t>
      </w:r>
      <w:r w:rsidR="00DE096D" w:rsidRPr="007A6C38">
        <w:rPr>
          <w:sz w:val="24"/>
          <w:szCs w:val="24"/>
          <w:lang w:val="fr-FR"/>
        </w:rPr>
        <w:t xml:space="preserve">es d’années en orthopédie </w:t>
      </w:r>
      <w:r w:rsidRPr="007A6C38">
        <w:rPr>
          <w:sz w:val="24"/>
          <w:szCs w:val="24"/>
          <w:lang w:val="fr-FR"/>
        </w:rPr>
        <w:t>pour régénére</w:t>
      </w:r>
      <w:r w:rsidR="00DE096D" w:rsidRPr="007A6C38">
        <w:rPr>
          <w:sz w:val="24"/>
          <w:szCs w:val="24"/>
          <w:lang w:val="fr-FR"/>
        </w:rPr>
        <w:t xml:space="preserve">r </w:t>
      </w:r>
      <w:r w:rsidR="007A6C38">
        <w:rPr>
          <w:sz w:val="24"/>
          <w:szCs w:val="24"/>
          <w:lang w:val="fr-FR"/>
        </w:rPr>
        <w:t xml:space="preserve">le cartilage des articulations et </w:t>
      </w:r>
      <w:r w:rsidRPr="007A6C38">
        <w:rPr>
          <w:sz w:val="24"/>
          <w:szCs w:val="24"/>
          <w:lang w:val="fr-FR"/>
        </w:rPr>
        <w:t>en plastie pour améliorer l’apparence de mauvaises cicatrices et aider des plaies à guérir</w:t>
      </w:r>
      <w:r w:rsidR="007A6C38">
        <w:rPr>
          <w:sz w:val="24"/>
          <w:szCs w:val="24"/>
          <w:lang w:val="fr-FR"/>
        </w:rPr>
        <w:t>. Mais des doutes existent maintenant sur l’efficacité en orthopédie.</w:t>
      </w:r>
    </w:p>
    <w:p w14:paraId="7EF46953" w14:textId="77777777" w:rsidR="007A6C38" w:rsidRPr="007A6C38" w:rsidRDefault="007A6C38" w:rsidP="007A6C38">
      <w:pPr>
        <w:rPr>
          <w:sz w:val="24"/>
          <w:szCs w:val="24"/>
          <w:lang w:val="fr-FR"/>
        </w:rPr>
      </w:pPr>
    </w:p>
    <w:p w14:paraId="7EF46954" w14:textId="77777777" w:rsidR="00870AFF" w:rsidRPr="00AF182F" w:rsidRDefault="00870AFF" w:rsidP="00AF182F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 médecine esthétique, l’usage est plus récent. La théorie soutenant cette utilisation est que des facteurs de c</w:t>
      </w:r>
      <w:r w:rsidR="00DE096D">
        <w:rPr>
          <w:sz w:val="24"/>
          <w:szCs w:val="24"/>
          <w:lang w:val="fr-FR"/>
        </w:rPr>
        <w:t>roissance provenant notamment</w:t>
      </w:r>
      <w:r>
        <w:rPr>
          <w:sz w:val="24"/>
          <w:szCs w:val="24"/>
          <w:lang w:val="fr-FR"/>
        </w:rPr>
        <w:t xml:space="preserve"> des plaquettes </w:t>
      </w:r>
      <w:r w:rsidR="007B1E4D">
        <w:rPr>
          <w:sz w:val="24"/>
          <w:szCs w:val="24"/>
          <w:lang w:val="fr-FR"/>
        </w:rPr>
        <w:t>stimuleraient</w:t>
      </w:r>
      <w:r>
        <w:rPr>
          <w:sz w:val="24"/>
          <w:szCs w:val="24"/>
          <w:lang w:val="fr-FR"/>
        </w:rPr>
        <w:t xml:space="preserve"> la prolifération cellulaire des fibroblastes et ainsi la synthèse de collagène et élastine, éléments essentiels de la peau.</w:t>
      </w:r>
      <w:r w:rsidR="00AF182F">
        <w:rPr>
          <w:sz w:val="24"/>
          <w:szCs w:val="24"/>
          <w:lang w:val="fr-FR"/>
        </w:rPr>
        <w:t xml:space="preserve"> </w:t>
      </w:r>
      <w:r w:rsidRPr="00AF182F">
        <w:rPr>
          <w:sz w:val="24"/>
          <w:szCs w:val="24"/>
          <w:lang w:val="fr-FR"/>
        </w:rPr>
        <w:t xml:space="preserve">Cependant, la littérature médicale offre une mixité de résultats concernant </w:t>
      </w:r>
      <w:r w:rsidR="007B1E4D" w:rsidRPr="00AF182F">
        <w:rPr>
          <w:sz w:val="24"/>
          <w:szCs w:val="24"/>
          <w:lang w:val="fr-FR"/>
        </w:rPr>
        <w:t>l’efficacité de ce traitement</w:t>
      </w:r>
      <w:r w:rsidR="004F349D" w:rsidRPr="00AF182F">
        <w:rPr>
          <w:sz w:val="24"/>
          <w:szCs w:val="24"/>
          <w:lang w:val="fr-FR"/>
        </w:rPr>
        <w:t>.</w:t>
      </w:r>
      <w:r w:rsidR="007B1E4D" w:rsidRPr="00AF182F">
        <w:rPr>
          <w:sz w:val="24"/>
          <w:szCs w:val="24"/>
          <w:lang w:val="fr-FR"/>
        </w:rPr>
        <w:t xml:space="preserve"> </w:t>
      </w:r>
    </w:p>
    <w:p w14:paraId="7EF46955" w14:textId="77777777" w:rsidR="00DE096D" w:rsidRPr="00DE096D" w:rsidRDefault="00DE096D" w:rsidP="00DE096D">
      <w:pPr>
        <w:rPr>
          <w:sz w:val="24"/>
          <w:szCs w:val="24"/>
          <w:lang w:val="fr-FR"/>
        </w:rPr>
      </w:pPr>
    </w:p>
    <w:p w14:paraId="7EF46956" w14:textId="77777777" w:rsidR="007B1E4D" w:rsidRDefault="007B1E4D" w:rsidP="00870AFF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bénéfices attendus sont une amélioration de l’élasticité cutanée avec un lissage des ridules et une amélioration</w:t>
      </w:r>
      <w:r w:rsidR="00613C2A">
        <w:rPr>
          <w:sz w:val="24"/>
          <w:szCs w:val="24"/>
          <w:lang w:val="fr-FR"/>
        </w:rPr>
        <w:t xml:space="preserve"> du teint.</w:t>
      </w:r>
      <w:r>
        <w:rPr>
          <w:sz w:val="24"/>
          <w:szCs w:val="24"/>
          <w:lang w:val="fr-FR"/>
        </w:rPr>
        <w:t xml:space="preserve"> Il est aussi espéré que l’aspect de rides et sillons puissent être amélioré</w:t>
      </w:r>
      <w:r w:rsidR="00613C2A">
        <w:rPr>
          <w:sz w:val="24"/>
          <w:szCs w:val="24"/>
          <w:lang w:val="fr-FR"/>
        </w:rPr>
        <w:t xml:space="preserve"> ainsi que l’apparence des cernes</w:t>
      </w:r>
      <w:r>
        <w:rPr>
          <w:sz w:val="24"/>
          <w:szCs w:val="24"/>
          <w:lang w:val="fr-FR"/>
        </w:rPr>
        <w:t xml:space="preserve">. </w:t>
      </w:r>
    </w:p>
    <w:p w14:paraId="7EF46957" w14:textId="77777777" w:rsidR="00DE096D" w:rsidRPr="00DE096D" w:rsidRDefault="00DE096D" w:rsidP="00DE096D">
      <w:pPr>
        <w:rPr>
          <w:sz w:val="24"/>
          <w:szCs w:val="24"/>
          <w:lang w:val="fr-FR"/>
        </w:rPr>
      </w:pPr>
    </w:p>
    <w:p w14:paraId="7EF46958" w14:textId="77777777" w:rsidR="007B1E4D" w:rsidRDefault="007B1E4D" w:rsidP="007B1E4D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7B1E4D">
        <w:rPr>
          <w:sz w:val="24"/>
          <w:szCs w:val="24"/>
          <w:lang w:val="fr-FR"/>
        </w:rPr>
        <w:t xml:space="preserve"> Les résultats varient gr</w:t>
      </w:r>
      <w:r w:rsidR="00AF182F">
        <w:rPr>
          <w:sz w:val="24"/>
          <w:szCs w:val="24"/>
          <w:lang w:val="fr-FR"/>
        </w:rPr>
        <w:t xml:space="preserve">andement d’un patient à l’autre supposément car </w:t>
      </w:r>
      <w:r>
        <w:rPr>
          <w:sz w:val="24"/>
          <w:szCs w:val="24"/>
          <w:lang w:val="fr-FR"/>
        </w:rPr>
        <w:t>le procédé repose sur l’utilisation des propres cellules du patient et des capacités naturelles de régénération et il y aura donc une variation des ré</w:t>
      </w:r>
      <w:r w:rsidR="00EC63E6">
        <w:rPr>
          <w:sz w:val="24"/>
          <w:szCs w:val="24"/>
          <w:lang w:val="fr-FR"/>
        </w:rPr>
        <w:t>sultats obtenus entre individus.</w:t>
      </w:r>
    </w:p>
    <w:p w14:paraId="7EF46959" w14:textId="77777777" w:rsidR="00DE096D" w:rsidRPr="00DE096D" w:rsidRDefault="00DE096D" w:rsidP="00DE096D">
      <w:pPr>
        <w:rPr>
          <w:sz w:val="24"/>
          <w:szCs w:val="24"/>
          <w:lang w:val="fr-FR"/>
        </w:rPr>
      </w:pPr>
    </w:p>
    <w:p w14:paraId="7EF4695A" w14:textId="77777777" w:rsidR="00DA3227" w:rsidRDefault="00AF182F" w:rsidP="00F835BB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</w:t>
      </w:r>
      <w:r w:rsidR="007B1E4D">
        <w:rPr>
          <w:sz w:val="24"/>
          <w:szCs w:val="24"/>
          <w:lang w:val="fr-FR"/>
        </w:rPr>
        <w:t xml:space="preserve"> protocole </w:t>
      </w:r>
      <w:r>
        <w:rPr>
          <w:sz w:val="24"/>
          <w:szCs w:val="24"/>
          <w:lang w:val="fr-FR"/>
        </w:rPr>
        <w:t>demande des séances d’</w:t>
      </w:r>
      <w:r w:rsidR="007B1E4D">
        <w:rPr>
          <w:sz w:val="24"/>
          <w:szCs w:val="24"/>
          <w:lang w:val="fr-FR"/>
        </w:rPr>
        <w:t xml:space="preserve">injections sur une période de 3 à 4 mois et un entretien </w:t>
      </w:r>
      <w:r w:rsidR="00613C2A">
        <w:rPr>
          <w:sz w:val="24"/>
          <w:szCs w:val="24"/>
          <w:lang w:val="fr-FR"/>
        </w:rPr>
        <w:t>aux 6 à 12 mois</w:t>
      </w:r>
      <w:r w:rsidR="00832BD2">
        <w:rPr>
          <w:sz w:val="24"/>
          <w:szCs w:val="24"/>
          <w:lang w:val="fr-FR"/>
        </w:rPr>
        <w:t xml:space="preserve">. Le </w:t>
      </w:r>
      <w:r w:rsidR="001F16E7">
        <w:rPr>
          <w:sz w:val="24"/>
          <w:szCs w:val="24"/>
          <w:lang w:val="fr-FR"/>
        </w:rPr>
        <w:t>type de peau, zones traitées</w:t>
      </w:r>
      <w:r w:rsidR="00832BD2">
        <w:rPr>
          <w:sz w:val="24"/>
          <w:szCs w:val="24"/>
          <w:lang w:val="fr-FR"/>
        </w:rPr>
        <w:t xml:space="preserve">, </w:t>
      </w:r>
      <w:r w:rsidR="001F16E7">
        <w:rPr>
          <w:sz w:val="24"/>
          <w:szCs w:val="24"/>
          <w:lang w:val="fr-FR"/>
        </w:rPr>
        <w:t xml:space="preserve">état de santé et </w:t>
      </w:r>
      <w:r w:rsidR="00DE096D">
        <w:rPr>
          <w:sz w:val="24"/>
          <w:szCs w:val="24"/>
          <w:lang w:val="fr-FR"/>
        </w:rPr>
        <w:t>habitudes</w:t>
      </w:r>
      <w:r w:rsidR="00832BD2">
        <w:rPr>
          <w:sz w:val="24"/>
          <w:szCs w:val="24"/>
          <w:lang w:val="fr-FR"/>
        </w:rPr>
        <w:t xml:space="preserve"> de vie sont à considérer.</w:t>
      </w:r>
    </w:p>
    <w:p w14:paraId="7EF4695B" w14:textId="77777777" w:rsidR="00DE096D" w:rsidRPr="00DE096D" w:rsidRDefault="00DE096D" w:rsidP="00DE096D">
      <w:pPr>
        <w:rPr>
          <w:sz w:val="24"/>
          <w:szCs w:val="24"/>
          <w:lang w:val="fr-FR"/>
        </w:rPr>
      </w:pPr>
    </w:p>
    <w:p w14:paraId="7EF4695C" w14:textId="77777777" w:rsidR="004F349D" w:rsidRDefault="00613C2A" w:rsidP="004F349D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Quant à son utilisation pour les soins capillaires, la littérature médicale offre également une grande mixité de résultats. Le traitement semble augmenter le volume des cheveux résiduels et peut-être en ralentir la perte mais l’évidence sur une re</w:t>
      </w:r>
      <w:r w:rsidR="00706816">
        <w:rPr>
          <w:sz w:val="24"/>
          <w:szCs w:val="24"/>
          <w:lang w:val="fr-FR"/>
        </w:rPr>
        <w:t xml:space="preserve">pousse éventuelle reste à venir. </w:t>
      </w:r>
      <w:r w:rsidR="004F349D">
        <w:rPr>
          <w:sz w:val="24"/>
          <w:szCs w:val="24"/>
          <w:lang w:val="fr-FR"/>
        </w:rPr>
        <w:t xml:space="preserve">                  </w:t>
      </w:r>
    </w:p>
    <w:p w14:paraId="7EF4695D" w14:textId="77777777" w:rsidR="00613C2A" w:rsidRDefault="00613C2A" w:rsidP="004F349D">
      <w:pPr>
        <w:pStyle w:val="Paragraphedeliste"/>
        <w:ind w:left="360"/>
        <w:rPr>
          <w:sz w:val="24"/>
          <w:szCs w:val="24"/>
          <w:lang w:val="fr-FR"/>
        </w:rPr>
      </w:pPr>
    </w:p>
    <w:p w14:paraId="7EF4695F" w14:textId="2E7AF89E" w:rsidR="00972889" w:rsidRPr="0025091F" w:rsidRDefault="00613C2A" w:rsidP="00613C2A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4F349D">
        <w:rPr>
          <w:sz w:val="24"/>
          <w:szCs w:val="24"/>
          <w:lang w:val="fr-FR"/>
        </w:rPr>
        <w:t>Le traitement présente cependant pe</w:t>
      </w:r>
      <w:r w:rsidR="00706816" w:rsidRPr="004F349D">
        <w:rPr>
          <w:sz w:val="24"/>
          <w:szCs w:val="24"/>
          <w:lang w:val="fr-FR"/>
        </w:rPr>
        <w:t>u de contre-indications et peu</w:t>
      </w:r>
      <w:r w:rsidRPr="004F349D">
        <w:rPr>
          <w:sz w:val="24"/>
          <w:szCs w:val="24"/>
          <w:lang w:val="fr-FR"/>
        </w:rPr>
        <w:t xml:space="preserve"> d’effets secondaires. Il constitue donc une alternative intéressante à explorer, surtout pour </w:t>
      </w:r>
      <w:proofErr w:type="gramStart"/>
      <w:r w:rsidRPr="004F349D">
        <w:rPr>
          <w:sz w:val="24"/>
          <w:szCs w:val="24"/>
          <w:lang w:val="fr-FR"/>
        </w:rPr>
        <w:t>les  patients</w:t>
      </w:r>
      <w:proofErr w:type="gramEnd"/>
      <w:r w:rsidRPr="004F349D">
        <w:rPr>
          <w:sz w:val="24"/>
          <w:szCs w:val="24"/>
          <w:lang w:val="fr-FR"/>
        </w:rPr>
        <w:t xml:space="preserve"> présentant des contre-indications à d’autres traitements.</w:t>
      </w:r>
      <w:r w:rsidR="004F349D" w:rsidRPr="004F349D">
        <w:rPr>
          <w:rFonts w:ascii="Rockwell Extra Bold" w:hAnsi="Rockwell Extra Bold"/>
          <w:sz w:val="28"/>
          <w:lang w:val="fr-FR"/>
        </w:rPr>
        <w:t xml:space="preserve"> </w:t>
      </w:r>
      <w:r w:rsidR="004F349D">
        <w:rPr>
          <w:rFonts w:ascii="Rockwell Extra Bold" w:hAnsi="Rockwell Extra Bold"/>
          <w:sz w:val="28"/>
          <w:lang w:val="fr-FR"/>
        </w:rPr>
        <w:t xml:space="preserve">                                                                              </w:t>
      </w:r>
    </w:p>
    <w:p w14:paraId="3AEEE619" w14:textId="77777777" w:rsidR="0025091F" w:rsidRPr="0025091F" w:rsidRDefault="0025091F" w:rsidP="0025091F">
      <w:pPr>
        <w:pStyle w:val="Paragraphedeliste"/>
        <w:rPr>
          <w:sz w:val="24"/>
          <w:szCs w:val="24"/>
          <w:lang w:val="fr-FR"/>
        </w:rPr>
      </w:pPr>
    </w:p>
    <w:p w14:paraId="01086A9E" w14:textId="77777777" w:rsidR="0025091F" w:rsidRDefault="0025091F" w:rsidP="0025091F">
      <w:pPr>
        <w:rPr>
          <w:sz w:val="24"/>
          <w:szCs w:val="24"/>
          <w:lang w:val="fr-FR"/>
        </w:rPr>
      </w:pPr>
    </w:p>
    <w:p w14:paraId="75FF1BBD" w14:textId="77777777" w:rsidR="0025091F" w:rsidRPr="0025091F" w:rsidRDefault="0025091F" w:rsidP="0025091F">
      <w:pPr>
        <w:rPr>
          <w:sz w:val="24"/>
          <w:szCs w:val="24"/>
          <w:lang w:val="fr-FR"/>
        </w:rPr>
      </w:pPr>
    </w:p>
    <w:p w14:paraId="7EF46960" w14:textId="77777777" w:rsidR="00DC6A13" w:rsidRDefault="00E73A7E" w:rsidP="00DC6A13">
      <w:pPr>
        <w:rPr>
          <w:rFonts w:ascii="Rockwell Extra Bold" w:hAnsi="Rockwell Extra Bold"/>
          <w:sz w:val="28"/>
          <w:lang w:val="fr-FR"/>
        </w:rPr>
      </w:pPr>
      <w:r w:rsidRPr="00A15CFD">
        <w:rPr>
          <w:rFonts w:ascii="Rockwell Extra Bold" w:hAnsi="Rockwell Extra Bold"/>
          <w:sz w:val="28"/>
          <w:lang w:val="fr-FR"/>
        </w:rPr>
        <w:lastRenderedPageBreak/>
        <w:t>Effets seconda</w:t>
      </w:r>
      <w:r w:rsidR="00A15CFD" w:rsidRPr="00A15CFD">
        <w:rPr>
          <w:rFonts w:ascii="Rockwell Extra Bold" w:hAnsi="Rockwell Extra Bold"/>
          <w:sz w:val="28"/>
          <w:lang w:val="fr-FR"/>
        </w:rPr>
        <w:t>ires et complications possibles</w:t>
      </w:r>
    </w:p>
    <w:p w14:paraId="7EF46961" w14:textId="77777777" w:rsidR="00706816" w:rsidRPr="00706816" w:rsidRDefault="00706816" w:rsidP="00706816">
      <w:pPr>
        <w:rPr>
          <w:sz w:val="24"/>
          <w:szCs w:val="24"/>
          <w:lang w:val="fr-FR"/>
        </w:rPr>
      </w:pPr>
    </w:p>
    <w:p w14:paraId="7EF46962" w14:textId="38A18A3C" w:rsidR="00706816" w:rsidRDefault="00706816" w:rsidP="00706816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Allergies pouvant aller au choc anaphylactique ;</w:t>
      </w:r>
      <w:r w:rsidR="00832BD2" w:rsidRPr="00832BD2">
        <w:rPr>
          <w:rFonts w:ascii="Rockwell Extra Bold" w:hAnsi="Rockwell Extra Bold"/>
          <w:sz w:val="28"/>
          <w:lang w:val="fr-FR"/>
        </w:rPr>
        <w:t xml:space="preserve"> </w:t>
      </w:r>
      <w:r w:rsidR="00832BD2">
        <w:rPr>
          <w:rFonts w:ascii="Rockwell Extra Bold" w:hAnsi="Rockwell Extra Bold"/>
          <w:sz w:val="28"/>
          <w:lang w:val="fr-FR"/>
        </w:rPr>
        <w:t xml:space="preserve">                                          </w:t>
      </w:r>
    </w:p>
    <w:p w14:paraId="7EF46963" w14:textId="77777777" w:rsidR="00613C2A" w:rsidRDefault="00867CDE" w:rsidP="00613C2A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effets secondaires mineurs tels :</w:t>
      </w:r>
    </w:p>
    <w:p w14:paraId="7EF46964" w14:textId="77777777" w:rsidR="00F2710A" w:rsidRPr="004F349D" w:rsidRDefault="00706816" w:rsidP="004F349D">
      <w:pPr>
        <w:pStyle w:val="Paragraphedeliste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</w:t>
      </w:r>
      <w:r w:rsidR="00F2710A">
        <w:rPr>
          <w:sz w:val="24"/>
          <w:szCs w:val="24"/>
          <w:lang w:val="fr-FR"/>
        </w:rPr>
        <w:t xml:space="preserve">Inconfort / douleur au moment de l’injection. Possibilité de réaction vagale (malaise pouvant </w:t>
      </w:r>
      <w:r>
        <w:rPr>
          <w:sz w:val="24"/>
          <w:szCs w:val="24"/>
          <w:lang w:val="fr-FR"/>
        </w:rPr>
        <w:t>aller à la perte de conscience) ;</w:t>
      </w:r>
      <w:r w:rsidR="004F349D" w:rsidRPr="004F349D">
        <w:rPr>
          <w:sz w:val="24"/>
          <w:szCs w:val="24"/>
          <w:lang w:val="fr-FR"/>
        </w:rPr>
        <w:t xml:space="preserve"> </w:t>
      </w:r>
      <w:r w:rsidR="004F349D">
        <w:rPr>
          <w:sz w:val="24"/>
          <w:szCs w:val="24"/>
          <w:lang w:val="fr-FR"/>
        </w:rPr>
        <w:t>Ecchymoses, hématomes (petites collections de sang sous la peau) ; Rougeurs ;</w:t>
      </w:r>
    </w:p>
    <w:p w14:paraId="7EF46965" w14:textId="77777777" w:rsidR="00F2710A" w:rsidRDefault="00706816" w:rsidP="00706816">
      <w:pPr>
        <w:pStyle w:val="Paragraphedeliste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</w:t>
      </w:r>
      <w:r w:rsidR="00F2710A">
        <w:rPr>
          <w:sz w:val="24"/>
          <w:szCs w:val="24"/>
          <w:lang w:val="fr-FR"/>
        </w:rPr>
        <w:t>Inflammation se manifestant par une légère sensibilité et une sensation de chaleur et de tension superficielle de</w:t>
      </w:r>
      <w:r w:rsidR="00E00913">
        <w:rPr>
          <w:sz w:val="24"/>
          <w:szCs w:val="24"/>
          <w:lang w:val="fr-FR"/>
        </w:rPr>
        <w:t xml:space="preserve"> la peau et une légère enflure </w:t>
      </w:r>
      <w:r w:rsidR="00F2710A">
        <w:rPr>
          <w:sz w:val="24"/>
          <w:szCs w:val="24"/>
          <w:lang w:val="fr-FR"/>
        </w:rPr>
        <w:t>qui</w:t>
      </w:r>
      <w:r w:rsidRPr="00706816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habituellement</w:t>
      </w:r>
      <w:r w:rsidR="00F2710A">
        <w:rPr>
          <w:sz w:val="24"/>
          <w:szCs w:val="24"/>
          <w:lang w:val="fr-FR"/>
        </w:rPr>
        <w:t xml:space="preserve"> se résoudront en 24 à 36 heures</w:t>
      </w:r>
      <w:r>
        <w:rPr>
          <w:sz w:val="24"/>
          <w:szCs w:val="24"/>
          <w:lang w:val="fr-FR"/>
        </w:rPr>
        <w:t> ;</w:t>
      </w:r>
    </w:p>
    <w:p w14:paraId="7EF46966" w14:textId="77777777" w:rsidR="00F2710A" w:rsidRDefault="00F2710A" w:rsidP="00613C2A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Risque d’infection de la peau causé par les injections (rare)</w:t>
      </w:r>
      <w:r w:rsidR="00706816">
        <w:rPr>
          <w:sz w:val="24"/>
          <w:szCs w:val="24"/>
          <w:lang w:val="fr-FR"/>
        </w:rPr>
        <w:t> ;</w:t>
      </w:r>
    </w:p>
    <w:p w14:paraId="7EF46967" w14:textId="77777777" w:rsidR="0067727F" w:rsidRDefault="0067727F" w:rsidP="00613C2A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Enflure importante liée à un processus </w:t>
      </w:r>
      <w:r w:rsidR="004F349D">
        <w:rPr>
          <w:sz w:val="24"/>
          <w:szCs w:val="24"/>
          <w:lang w:val="fr-FR"/>
        </w:rPr>
        <w:t>immunitaire (</w:t>
      </w:r>
      <w:r>
        <w:rPr>
          <w:sz w:val="24"/>
          <w:szCs w:val="24"/>
          <w:lang w:val="fr-FR"/>
        </w:rPr>
        <w:t>rare)</w:t>
      </w:r>
      <w:r w:rsidR="00706816">
        <w:rPr>
          <w:sz w:val="24"/>
          <w:szCs w:val="24"/>
          <w:lang w:val="fr-FR"/>
        </w:rPr>
        <w:t> ;</w:t>
      </w:r>
    </w:p>
    <w:p w14:paraId="7EF46968" w14:textId="77777777" w:rsidR="00F2710A" w:rsidRDefault="00F2710A" w:rsidP="00613C2A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prélèvement sanguin est effectué avec un équipement spécial</w:t>
      </w:r>
      <w:r w:rsidR="00E00913">
        <w:rPr>
          <w:sz w:val="24"/>
          <w:szCs w:val="24"/>
          <w:lang w:val="fr-FR"/>
        </w:rPr>
        <w:t>isé</w:t>
      </w:r>
      <w:r>
        <w:rPr>
          <w:sz w:val="24"/>
          <w:szCs w:val="24"/>
          <w:lang w:val="fr-FR"/>
        </w:rPr>
        <w:t xml:space="preserve"> destiné à empêcher la contamination du produit sanguin, mais très rarement, une </w:t>
      </w:r>
      <w:r w:rsidR="00E00913">
        <w:rPr>
          <w:sz w:val="24"/>
          <w:szCs w:val="24"/>
          <w:lang w:val="fr-FR"/>
        </w:rPr>
        <w:t>contamination et infection résultante</w:t>
      </w:r>
      <w:r w:rsidR="004F349D">
        <w:rPr>
          <w:sz w:val="24"/>
          <w:szCs w:val="24"/>
          <w:lang w:val="fr-FR"/>
        </w:rPr>
        <w:t xml:space="preserve"> sont possibles ;</w:t>
      </w:r>
    </w:p>
    <w:p w14:paraId="7EF46969" w14:textId="77777777" w:rsidR="00F2710A" w:rsidRDefault="00F2710A" w:rsidP="00613C2A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Les résultats pourraient ne pas correspondre aux attentes </w:t>
      </w:r>
      <w:r w:rsidR="00706816">
        <w:rPr>
          <w:sz w:val="24"/>
          <w:szCs w:val="24"/>
          <w:lang w:val="fr-FR"/>
        </w:rPr>
        <w:t>du patient.</w:t>
      </w:r>
    </w:p>
    <w:p w14:paraId="7EF4696A" w14:textId="77777777" w:rsidR="00697DEF" w:rsidRDefault="00697DEF" w:rsidP="00697DEF">
      <w:pPr>
        <w:pStyle w:val="Paragraphedeliste"/>
        <w:ind w:left="360"/>
        <w:rPr>
          <w:sz w:val="24"/>
          <w:szCs w:val="24"/>
          <w:lang w:val="fr-FR"/>
        </w:rPr>
      </w:pPr>
    </w:p>
    <w:p w14:paraId="7EF4696B" w14:textId="77777777" w:rsidR="00715826" w:rsidRPr="00715826" w:rsidRDefault="00A15CFD" w:rsidP="00715826">
      <w:pPr>
        <w:rPr>
          <w:sz w:val="24"/>
          <w:szCs w:val="24"/>
          <w:lang w:val="fr-FR"/>
        </w:rPr>
      </w:pPr>
      <w:r w:rsidRPr="00715826">
        <w:rPr>
          <w:rFonts w:ascii="Rockwell Extra Bold" w:hAnsi="Rockwell Extra Bold"/>
          <w:sz w:val="28"/>
          <w:lang w:val="fr-FR"/>
        </w:rPr>
        <w:t>Recommandations</w:t>
      </w:r>
      <w:r w:rsidR="00715826" w:rsidRPr="00715826">
        <w:rPr>
          <w:rFonts w:ascii="Rockwell Extra Bold" w:hAnsi="Rockwell Extra Bold"/>
          <w:sz w:val="28"/>
          <w:lang w:val="fr-FR"/>
        </w:rPr>
        <w:t xml:space="preserve"> : </w:t>
      </w:r>
      <w:r w:rsidR="00715826" w:rsidRPr="00B72041">
        <w:rPr>
          <w:b/>
          <w:sz w:val="24"/>
          <w:szCs w:val="24"/>
          <w:lang w:val="fr-FR"/>
        </w:rPr>
        <w:t>Il est important de suivre les consignes de l’infirmière et du médecin.</w:t>
      </w:r>
    </w:p>
    <w:p w14:paraId="7EF4696C" w14:textId="77777777" w:rsidR="005D6FB9" w:rsidRPr="00946688" w:rsidRDefault="005D6FB9" w:rsidP="00946688">
      <w:pPr>
        <w:rPr>
          <w:sz w:val="28"/>
          <w:lang w:val="fr-FR"/>
        </w:rPr>
      </w:pPr>
    </w:p>
    <w:p w14:paraId="7EF4696E" w14:textId="15C58214" w:rsidR="00706816" w:rsidRPr="007A17B5" w:rsidRDefault="006E1A7E" w:rsidP="007A17B5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Si vous êtes</w:t>
      </w:r>
      <w:r w:rsidR="00E73A7E" w:rsidRPr="00AE243E">
        <w:rPr>
          <w:sz w:val="24"/>
          <w:szCs w:val="24"/>
          <w:lang w:val="fr-FR"/>
        </w:rPr>
        <w:t xml:space="preserve"> enceinte, allaitante ou </w:t>
      </w:r>
      <w:r w:rsidRPr="00AE243E">
        <w:rPr>
          <w:sz w:val="24"/>
          <w:szCs w:val="24"/>
          <w:lang w:val="fr-FR"/>
        </w:rPr>
        <w:t xml:space="preserve">tentez de concevoir : </w:t>
      </w:r>
      <w:r w:rsidR="009D7D30">
        <w:rPr>
          <w:sz w:val="24"/>
          <w:szCs w:val="24"/>
          <w:lang w:val="fr-FR"/>
        </w:rPr>
        <w:t xml:space="preserve">ne </w:t>
      </w:r>
      <w:r w:rsidRPr="00AE243E">
        <w:rPr>
          <w:sz w:val="24"/>
          <w:szCs w:val="24"/>
          <w:lang w:val="fr-FR"/>
        </w:rPr>
        <w:t xml:space="preserve">pas </w:t>
      </w:r>
      <w:r w:rsidR="009D7D30">
        <w:rPr>
          <w:sz w:val="24"/>
          <w:szCs w:val="24"/>
          <w:lang w:val="fr-FR"/>
        </w:rPr>
        <w:t xml:space="preserve">recevoir </w:t>
      </w:r>
      <w:r w:rsidR="007C1A74">
        <w:rPr>
          <w:sz w:val="24"/>
          <w:szCs w:val="24"/>
          <w:lang w:val="fr-FR"/>
        </w:rPr>
        <w:t xml:space="preserve">de </w:t>
      </w:r>
      <w:proofErr w:type="gramStart"/>
      <w:r w:rsidR="00F2710A">
        <w:rPr>
          <w:sz w:val="24"/>
          <w:szCs w:val="24"/>
          <w:lang w:val="fr-FR"/>
        </w:rPr>
        <w:t>PRP</w:t>
      </w:r>
      <w:r w:rsidRPr="00AE243E">
        <w:rPr>
          <w:sz w:val="24"/>
          <w:szCs w:val="24"/>
          <w:lang w:val="fr-FR"/>
        </w:rPr>
        <w:t>;</w:t>
      </w:r>
      <w:proofErr w:type="gramEnd"/>
    </w:p>
    <w:p w14:paraId="7EF46970" w14:textId="1A086022" w:rsidR="008B74B9" w:rsidRPr="007A17B5" w:rsidRDefault="001F16E7" w:rsidP="007C1A74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Ne pas consommer d’alcool ou de produits du tabac pour les 4 semaines qui précèdent et les 4 semaines qui </w:t>
      </w:r>
      <w:r w:rsidR="00706816">
        <w:rPr>
          <w:sz w:val="24"/>
          <w:szCs w:val="24"/>
          <w:lang w:val="fr-FR"/>
        </w:rPr>
        <w:t>suivent</w:t>
      </w:r>
      <w:r>
        <w:rPr>
          <w:sz w:val="24"/>
          <w:szCs w:val="24"/>
          <w:lang w:val="fr-FR"/>
        </w:rPr>
        <w:t xml:space="preserve"> votre </w:t>
      </w:r>
      <w:r w:rsidR="00706816">
        <w:rPr>
          <w:sz w:val="24"/>
          <w:szCs w:val="24"/>
          <w:lang w:val="fr-FR"/>
        </w:rPr>
        <w:t>traitement pour</w:t>
      </w:r>
      <w:r>
        <w:rPr>
          <w:sz w:val="24"/>
          <w:szCs w:val="24"/>
          <w:lang w:val="fr-FR"/>
        </w:rPr>
        <w:t xml:space="preserve"> favoriser un meilleur résultat. En effet, le tabac diminue les facteurs de croissance et contribue également à diminuer le nombre de </w:t>
      </w:r>
      <w:r w:rsidR="00706816">
        <w:rPr>
          <w:sz w:val="24"/>
          <w:szCs w:val="24"/>
          <w:lang w:val="fr-FR"/>
        </w:rPr>
        <w:t>plaquettes</w:t>
      </w:r>
      <w:r>
        <w:rPr>
          <w:sz w:val="24"/>
          <w:szCs w:val="24"/>
          <w:lang w:val="fr-FR"/>
        </w:rPr>
        <w:t xml:space="preserve"> dans le sang. L’alcool interfère av</w:t>
      </w:r>
      <w:r w:rsidR="00706816">
        <w:rPr>
          <w:sz w:val="24"/>
          <w:szCs w:val="24"/>
          <w:lang w:val="fr-FR"/>
        </w:rPr>
        <w:t>ec la capacité du corps de créer</w:t>
      </w:r>
      <w:r>
        <w:rPr>
          <w:sz w:val="24"/>
          <w:szCs w:val="24"/>
          <w:lang w:val="fr-FR"/>
        </w:rPr>
        <w:t xml:space="preserve"> des cellules souches (qui engendreront des cellules améliorant la peau)</w:t>
      </w:r>
      <w:r w:rsidR="00706816">
        <w:rPr>
          <w:sz w:val="24"/>
          <w:szCs w:val="24"/>
          <w:lang w:val="fr-FR"/>
        </w:rPr>
        <w:t> ;</w:t>
      </w:r>
    </w:p>
    <w:p w14:paraId="7EF46972" w14:textId="33170402" w:rsidR="00CA430B" w:rsidRPr="007A17B5" w:rsidRDefault="00E63DF7" w:rsidP="00E16D32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A</w:t>
      </w:r>
      <w:r w:rsidR="009D7D30">
        <w:rPr>
          <w:sz w:val="24"/>
          <w:szCs w:val="24"/>
          <w:lang w:val="fr-FR"/>
        </w:rPr>
        <w:t xml:space="preserve">viser de </w:t>
      </w:r>
      <w:r w:rsidR="006537A6">
        <w:rPr>
          <w:sz w:val="24"/>
          <w:szCs w:val="24"/>
          <w:lang w:val="fr-FR"/>
        </w:rPr>
        <w:t>tout changement</w:t>
      </w:r>
      <w:r w:rsidR="00E73A7E" w:rsidRPr="00AE243E">
        <w:rPr>
          <w:sz w:val="24"/>
          <w:szCs w:val="24"/>
          <w:lang w:val="fr-FR"/>
        </w:rPr>
        <w:t xml:space="preserve"> dans </w:t>
      </w:r>
      <w:r w:rsidRPr="00AE243E">
        <w:rPr>
          <w:sz w:val="24"/>
          <w:szCs w:val="24"/>
          <w:lang w:val="fr-FR"/>
        </w:rPr>
        <w:t xml:space="preserve">votre état de santé, allergies, </w:t>
      </w:r>
      <w:r w:rsidR="00E73A7E" w:rsidRPr="00AE243E">
        <w:rPr>
          <w:sz w:val="24"/>
          <w:szCs w:val="24"/>
          <w:lang w:val="fr-FR"/>
        </w:rPr>
        <w:t>médicaments</w:t>
      </w:r>
      <w:r w:rsidR="00946688" w:rsidRPr="00AE243E">
        <w:rPr>
          <w:sz w:val="24"/>
          <w:szCs w:val="24"/>
          <w:lang w:val="fr-FR"/>
        </w:rPr>
        <w:t> </w:t>
      </w:r>
      <w:r w:rsidR="009D7D30">
        <w:rPr>
          <w:sz w:val="24"/>
          <w:szCs w:val="24"/>
          <w:lang w:val="fr-FR"/>
        </w:rPr>
        <w:t xml:space="preserve">ainsi que de </w:t>
      </w:r>
      <w:r w:rsidR="00946688" w:rsidRPr="00AE243E">
        <w:rPr>
          <w:sz w:val="24"/>
          <w:szCs w:val="24"/>
          <w:lang w:val="fr-FR"/>
        </w:rPr>
        <w:t xml:space="preserve">traitements cutanés </w:t>
      </w:r>
      <w:r w:rsidR="008A222D">
        <w:rPr>
          <w:sz w:val="24"/>
          <w:szCs w:val="24"/>
          <w:lang w:val="fr-FR"/>
        </w:rPr>
        <w:t xml:space="preserve">ou dentaires </w:t>
      </w:r>
      <w:r w:rsidR="00946688" w:rsidRPr="00AE243E">
        <w:rPr>
          <w:sz w:val="24"/>
          <w:szCs w:val="24"/>
          <w:lang w:val="fr-FR"/>
        </w:rPr>
        <w:t>récents ou que vous prévoyez recevoir prochainement ;</w:t>
      </w:r>
    </w:p>
    <w:p w14:paraId="7EF46974" w14:textId="59582764" w:rsidR="00AE243E" w:rsidRPr="007A17B5" w:rsidRDefault="00715826" w:rsidP="007A17B5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Nous aviser d’effets </w:t>
      </w:r>
      <w:r w:rsidR="00F2710A">
        <w:rPr>
          <w:sz w:val="24"/>
          <w:szCs w:val="24"/>
          <w:lang w:val="fr-FR"/>
        </w:rPr>
        <w:t>non-désirables</w:t>
      </w:r>
      <w:r w:rsidR="00E16D32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ou de complications</w:t>
      </w:r>
      <w:r w:rsidR="00E00913">
        <w:rPr>
          <w:sz w:val="24"/>
          <w:szCs w:val="24"/>
          <w:lang w:val="fr-FR"/>
        </w:rPr>
        <w:t xml:space="preserve">. </w:t>
      </w:r>
      <w:r w:rsidR="00832BD2">
        <w:rPr>
          <w:sz w:val="24"/>
          <w:szCs w:val="24"/>
          <w:lang w:val="fr-FR"/>
        </w:rPr>
        <w:t xml:space="preserve">Faire </w:t>
      </w:r>
      <w:r w:rsidR="00832BD2" w:rsidRPr="00AE243E">
        <w:rPr>
          <w:sz w:val="24"/>
          <w:szCs w:val="24"/>
          <w:lang w:val="fr-FR"/>
        </w:rPr>
        <w:t xml:space="preserve">un suivi avec votre infirmière </w:t>
      </w:r>
      <w:r w:rsidR="00832BD2">
        <w:rPr>
          <w:sz w:val="24"/>
          <w:szCs w:val="24"/>
          <w:lang w:val="fr-FR"/>
        </w:rPr>
        <w:t>dans les 4 à 6 semaines après</w:t>
      </w:r>
      <w:r w:rsidR="00832BD2" w:rsidRPr="00AE243E">
        <w:rPr>
          <w:sz w:val="24"/>
          <w:szCs w:val="24"/>
          <w:lang w:val="fr-FR"/>
        </w:rPr>
        <w:t xml:space="preserve"> traitement</w:t>
      </w:r>
      <w:r w:rsidR="00832BD2">
        <w:rPr>
          <w:sz w:val="24"/>
          <w:szCs w:val="24"/>
          <w:lang w:val="fr-FR"/>
        </w:rPr>
        <w:t> ;</w:t>
      </w:r>
      <w:r w:rsidR="00832BD2" w:rsidRPr="00AE243E">
        <w:rPr>
          <w:sz w:val="24"/>
          <w:szCs w:val="24"/>
          <w:lang w:val="fr-FR"/>
        </w:rPr>
        <w:t xml:space="preserve"> </w:t>
      </w:r>
    </w:p>
    <w:p w14:paraId="7EF46976" w14:textId="62909BE0" w:rsidR="0073553E" w:rsidRPr="007A17B5" w:rsidRDefault="001D1956" w:rsidP="0073553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proofErr w:type="gramStart"/>
      <w:r w:rsidRPr="00AE243E">
        <w:rPr>
          <w:sz w:val="24"/>
          <w:szCs w:val="24"/>
          <w:lang w:val="fr-FR"/>
        </w:rPr>
        <w:t xml:space="preserve">Les </w:t>
      </w:r>
      <w:r w:rsidR="00E73A7E" w:rsidRPr="00AE243E">
        <w:rPr>
          <w:sz w:val="24"/>
          <w:szCs w:val="24"/>
          <w:lang w:val="fr-FR"/>
        </w:rPr>
        <w:t xml:space="preserve"> photos</w:t>
      </w:r>
      <w:proofErr w:type="gramEnd"/>
      <w:r w:rsidR="00E73A7E" w:rsidRPr="00AE243E">
        <w:rPr>
          <w:i/>
          <w:sz w:val="24"/>
          <w:szCs w:val="24"/>
          <w:lang w:val="fr-FR"/>
        </w:rPr>
        <w:t xml:space="preserve"> avant / après</w:t>
      </w:r>
      <w:r w:rsidR="00E73A7E" w:rsidRPr="00AE243E">
        <w:rPr>
          <w:sz w:val="24"/>
          <w:szCs w:val="24"/>
          <w:lang w:val="fr-FR"/>
        </w:rPr>
        <w:t xml:space="preserve"> </w:t>
      </w:r>
      <w:r w:rsidRPr="00AE243E">
        <w:rPr>
          <w:sz w:val="24"/>
          <w:szCs w:val="24"/>
          <w:lang w:val="fr-FR"/>
        </w:rPr>
        <w:t>sont</w:t>
      </w:r>
      <w:r w:rsidR="00E73A7E" w:rsidRPr="00AE243E">
        <w:rPr>
          <w:sz w:val="24"/>
          <w:szCs w:val="24"/>
          <w:lang w:val="fr-FR"/>
        </w:rPr>
        <w:t xml:space="preserve"> recommandée</w:t>
      </w:r>
      <w:r w:rsidRPr="00AE243E">
        <w:rPr>
          <w:sz w:val="24"/>
          <w:szCs w:val="24"/>
          <w:lang w:val="fr-FR"/>
        </w:rPr>
        <w:t>s</w:t>
      </w:r>
      <w:r w:rsidR="00E73A7E" w:rsidRPr="00AE243E">
        <w:rPr>
          <w:sz w:val="24"/>
          <w:szCs w:val="24"/>
          <w:lang w:val="fr-FR"/>
        </w:rPr>
        <w:t xml:space="preserve"> pour évaluer l’efficacité du traitement, et parfois pour faciliter une discussion clinique entre les membres de l’équipe traitante. </w:t>
      </w:r>
      <w:r w:rsidR="009D7D30">
        <w:rPr>
          <w:sz w:val="24"/>
          <w:szCs w:val="24"/>
          <w:lang w:val="fr-FR"/>
        </w:rPr>
        <w:t xml:space="preserve">Leur diffusion requière votre </w:t>
      </w:r>
      <w:r w:rsidR="00205916">
        <w:rPr>
          <w:sz w:val="24"/>
          <w:szCs w:val="24"/>
          <w:lang w:val="fr-FR"/>
        </w:rPr>
        <w:t>consentement.</w:t>
      </w:r>
    </w:p>
    <w:p w14:paraId="7EF46977" w14:textId="77777777" w:rsidR="0073553E" w:rsidRDefault="0073553E" w:rsidP="0073553E">
      <w:pPr>
        <w:pStyle w:val="Paragraphedeliste"/>
        <w:numPr>
          <w:ilvl w:val="0"/>
          <w:numId w:val="4"/>
        </w:numPr>
        <w:rPr>
          <w:rFonts w:ascii="Rockwell Extra Bold" w:hAnsi="Rockwell Extra Bold"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Le protocole de prévention prescrit </w:t>
      </w:r>
      <w:r>
        <w:rPr>
          <w:sz w:val="24"/>
          <w:szCs w:val="24"/>
          <w:lang w:val="fr-FR"/>
        </w:rPr>
        <w:t xml:space="preserve">chez les patients qui ont eu </w:t>
      </w:r>
      <w:r>
        <w:rPr>
          <w:b/>
          <w:sz w:val="24"/>
          <w:szCs w:val="24"/>
          <w:lang w:val="fr-FR"/>
        </w:rPr>
        <w:t>des feux sauvages et du Zona doit être pris tel que prescrit pour éviter des complications potentiellement sévères</w:t>
      </w:r>
      <w:r>
        <w:rPr>
          <w:sz w:val="24"/>
          <w:szCs w:val="24"/>
          <w:lang w:val="fr-FR"/>
        </w:rPr>
        <w:t>.</w:t>
      </w:r>
    </w:p>
    <w:p w14:paraId="7EF46978" w14:textId="77777777" w:rsidR="00A406C4" w:rsidRPr="00715826" w:rsidRDefault="00A406C4" w:rsidP="00715826">
      <w:pPr>
        <w:rPr>
          <w:sz w:val="24"/>
          <w:szCs w:val="24"/>
          <w:lang w:val="fr-FR"/>
        </w:rPr>
      </w:pPr>
    </w:p>
    <w:p w14:paraId="7EF46979" w14:textId="77777777" w:rsidR="005D6FB9" w:rsidRPr="0073553E" w:rsidRDefault="00A15CFD" w:rsidP="00E73A7E">
      <w:pPr>
        <w:rPr>
          <w:rFonts w:ascii="Rockwell Extra Bold" w:hAnsi="Rockwell Extra Bold"/>
          <w:sz w:val="28"/>
          <w:lang w:val="fr-FR"/>
        </w:rPr>
      </w:pPr>
      <w:r w:rsidRPr="00A15CFD">
        <w:rPr>
          <w:rFonts w:ascii="Rockwell Extra Bold" w:hAnsi="Rockwell Extra Bold"/>
          <w:sz w:val="28"/>
          <w:lang w:val="fr-FR"/>
        </w:rPr>
        <w:t>Autorisation </w:t>
      </w:r>
    </w:p>
    <w:p w14:paraId="7EF4697A" w14:textId="6C4DA0E5" w:rsidR="00065FE9" w:rsidRDefault="00065FE9" w:rsidP="00065FE9">
      <w:pPr>
        <w:pStyle w:val="Paragraphedeliste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J’autorise </w:t>
      </w:r>
      <w:r w:rsidR="00843285">
        <w:rPr>
          <w:bCs/>
          <w:sz w:val="24"/>
          <w:szCs w:val="24"/>
          <w:lang w:val="fr-FR"/>
        </w:rPr>
        <w:t>l’</w:t>
      </w:r>
      <w:r>
        <w:rPr>
          <w:sz w:val="24"/>
          <w:szCs w:val="24"/>
          <w:lang w:val="fr-FR"/>
        </w:rPr>
        <w:t>inf</w:t>
      </w:r>
      <w:r w:rsidR="004128F8">
        <w:rPr>
          <w:sz w:val="24"/>
          <w:szCs w:val="24"/>
          <w:lang w:val="fr-FR"/>
        </w:rPr>
        <w:t>irmière</w:t>
      </w:r>
      <w:r w:rsidR="00843285">
        <w:rPr>
          <w:sz w:val="24"/>
          <w:szCs w:val="24"/>
          <w:lang w:val="fr-FR"/>
        </w:rPr>
        <w:t>……………………</w:t>
      </w:r>
      <w:proofErr w:type="gramStart"/>
      <w:r w:rsidR="00843285">
        <w:rPr>
          <w:sz w:val="24"/>
          <w:szCs w:val="24"/>
          <w:lang w:val="fr-FR"/>
        </w:rPr>
        <w:t>…….</w:t>
      </w:r>
      <w:proofErr w:type="gramEnd"/>
      <w:r w:rsidR="00843285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, numéro de permis de OIIQ : </w:t>
      </w:r>
      <w:r w:rsidR="00843285">
        <w:rPr>
          <w:sz w:val="24"/>
          <w:szCs w:val="24"/>
          <w:lang w:val="fr-FR"/>
        </w:rPr>
        <w:t>…………………..</w:t>
      </w:r>
      <w:r>
        <w:rPr>
          <w:sz w:val="24"/>
          <w:szCs w:val="24"/>
          <w:lang w:val="fr-FR"/>
        </w:rPr>
        <w:t>à exécuter la procédure qui m’a été proposée et expliquée lors de mon évaluation</w:t>
      </w:r>
    </w:p>
    <w:p w14:paraId="7EF4697B" w14:textId="77777777" w:rsidR="00E73A7E" w:rsidRPr="00AE243E" w:rsidRDefault="00E73A7E" w:rsidP="00E73A7E">
      <w:pPr>
        <w:rPr>
          <w:sz w:val="24"/>
          <w:szCs w:val="24"/>
          <w:lang w:val="fr-FR"/>
        </w:rPr>
      </w:pPr>
    </w:p>
    <w:p w14:paraId="7EF4697C" w14:textId="77777777" w:rsidR="00A406C4" w:rsidRPr="00AE243E" w:rsidRDefault="00992864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 xml:space="preserve">Date :            </w:t>
      </w:r>
      <w:r w:rsidR="00E73A7E" w:rsidRPr="00AE243E">
        <w:rPr>
          <w:b/>
          <w:sz w:val="24"/>
          <w:lang w:val="fr-FR"/>
        </w:rPr>
        <w:t> </w:t>
      </w:r>
      <w:r w:rsidR="00946688" w:rsidRPr="00AE243E">
        <w:rPr>
          <w:b/>
          <w:sz w:val="24"/>
          <w:lang w:val="fr-FR"/>
        </w:rPr>
        <w:t xml:space="preserve">/        </w:t>
      </w:r>
      <w:r w:rsidR="00A406C4" w:rsidRPr="00AE243E">
        <w:rPr>
          <w:b/>
          <w:sz w:val="24"/>
          <w:lang w:val="fr-FR"/>
        </w:rPr>
        <w:t xml:space="preserve">   </w:t>
      </w:r>
      <w:r w:rsidR="00946688" w:rsidRPr="00AE243E">
        <w:rPr>
          <w:b/>
          <w:sz w:val="24"/>
          <w:lang w:val="fr-FR"/>
        </w:rPr>
        <w:t xml:space="preserve">/                   </w:t>
      </w:r>
    </w:p>
    <w:p w14:paraId="7EF4697D" w14:textId="77777777" w:rsidR="00A406C4" w:rsidRPr="00AE243E" w:rsidRDefault="00A406C4" w:rsidP="00A406C4">
      <w:pPr>
        <w:pStyle w:val="Paragraphedeliste"/>
        <w:rPr>
          <w:b/>
          <w:sz w:val="24"/>
          <w:lang w:val="fr-FR"/>
        </w:rPr>
      </w:pPr>
    </w:p>
    <w:p w14:paraId="7EF4697E" w14:textId="77777777" w:rsidR="00E73A7E" w:rsidRPr="00AE243E" w:rsidRDefault="00A406C4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>Nom</w:t>
      </w:r>
      <w:r w:rsidR="00946688" w:rsidRPr="00AE243E">
        <w:rPr>
          <w:b/>
          <w:sz w:val="24"/>
          <w:lang w:val="fr-FR"/>
        </w:rPr>
        <w:t xml:space="preserve"> du patient :</w:t>
      </w:r>
      <w:r w:rsidRPr="00AE243E">
        <w:rPr>
          <w:b/>
          <w:sz w:val="24"/>
          <w:lang w:val="fr-FR"/>
        </w:rPr>
        <w:t xml:space="preserve"> (lettres moulées) </w:t>
      </w:r>
      <w:r w:rsidR="00946688" w:rsidRPr="00AE243E">
        <w:rPr>
          <w:b/>
          <w:sz w:val="24"/>
          <w:lang w:val="fr-FR"/>
        </w:rPr>
        <w:t>_____________________</w:t>
      </w:r>
      <w:r w:rsidRPr="00AE243E">
        <w:rPr>
          <w:b/>
          <w:sz w:val="24"/>
          <w:lang w:val="fr-FR"/>
        </w:rPr>
        <w:t>_________</w:t>
      </w:r>
      <w:r w:rsidR="00B25C09">
        <w:rPr>
          <w:b/>
          <w:sz w:val="24"/>
          <w:lang w:val="fr-FR"/>
        </w:rPr>
        <w:t>_____________________</w:t>
      </w:r>
    </w:p>
    <w:p w14:paraId="7EF4697F" w14:textId="77777777" w:rsidR="00A406C4" w:rsidRPr="00AE243E" w:rsidRDefault="00A406C4" w:rsidP="00A406C4">
      <w:pPr>
        <w:pStyle w:val="Paragraphedeliste"/>
        <w:rPr>
          <w:b/>
          <w:sz w:val="24"/>
          <w:lang w:val="fr-FR"/>
        </w:rPr>
      </w:pPr>
    </w:p>
    <w:p w14:paraId="7EF46980" w14:textId="77777777" w:rsidR="00A406C4" w:rsidRPr="00AE243E" w:rsidRDefault="00A406C4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>Date de naissance du patient : __________________________________</w:t>
      </w:r>
      <w:r w:rsidR="00B25C09">
        <w:rPr>
          <w:b/>
          <w:sz w:val="24"/>
          <w:lang w:val="fr-FR"/>
        </w:rPr>
        <w:t>____________________</w:t>
      </w:r>
    </w:p>
    <w:p w14:paraId="7EF46981" w14:textId="77777777" w:rsidR="00A406C4" w:rsidRPr="00AE243E" w:rsidRDefault="00A406C4" w:rsidP="00A406C4">
      <w:pPr>
        <w:pStyle w:val="Paragraphedeliste"/>
        <w:rPr>
          <w:b/>
          <w:sz w:val="24"/>
          <w:lang w:val="fr-FR"/>
        </w:rPr>
      </w:pPr>
    </w:p>
    <w:p w14:paraId="7EF46982" w14:textId="77777777" w:rsidR="00A406C4" w:rsidRPr="00AE243E" w:rsidRDefault="00A406C4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>Signature du patient : _________________________________________</w:t>
      </w:r>
      <w:r w:rsidR="00B25C09">
        <w:rPr>
          <w:b/>
          <w:sz w:val="24"/>
          <w:lang w:val="fr-FR"/>
        </w:rPr>
        <w:t>____________________</w:t>
      </w:r>
    </w:p>
    <w:p w14:paraId="7EF46983" w14:textId="77777777" w:rsidR="00946688" w:rsidRPr="00AE243E" w:rsidRDefault="00946688" w:rsidP="00946688">
      <w:pPr>
        <w:pStyle w:val="Paragraphedeliste"/>
        <w:rPr>
          <w:b/>
          <w:sz w:val="24"/>
          <w:lang w:val="fr-FR"/>
        </w:rPr>
      </w:pPr>
    </w:p>
    <w:p w14:paraId="7EF46984" w14:textId="77777777" w:rsidR="00E73A7E" w:rsidRPr="00AE243E" w:rsidRDefault="00E73A7E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>Signature de l’infirmière :</w:t>
      </w:r>
      <w:r w:rsidR="00A406C4" w:rsidRPr="00AE243E">
        <w:rPr>
          <w:b/>
          <w:sz w:val="24"/>
          <w:lang w:val="fr-FR"/>
        </w:rPr>
        <w:t xml:space="preserve"> ______________________________________</w:t>
      </w:r>
      <w:r w:rsidR="00B25C09">
        <w:rPr>
          <w:b/>
          <w:sz w:val="24"/>
          <w:lang w:val="fr-FR"/>
        </w:rPr>
        <w:t>____________________</w:t>
      </w:r>
    </w:p>
    <w:p w14:paraId="7EF46985" w14:textId="77777777" w:rsidR="00E73A7E" w:rsidRPr="00AE243E" w:rsidRDefault="00992864" w:rsidP="00A406C4">
      <w:pPr>
        <w:rPr>
          <w:sz w:val="24"/>
          <w:lang w:val="fr-FR"/>
        </w:rPr>
      </w:pPr>
      <w:r w:rsidRPr="00AE243E">
        <w:rPr>
          <w:sz w:val="24"/>
          <w:lang w:val="fr-FR"/>
        </w:rPr>
        <w:t xml:space="preserve">                                            </w:t>
      </w:r>
    </w:p>
    <w:p w14:paraId="7EF46986" w14:textId="79226C4C" w:rsidR="00CE64F8" w:rsidRPr="00AE243E" w:rsidRDefault="00E73A7E" w:rsidP="00A406C4">
      <w:pPr>
        <w:pStyle w:val="Paragraphedeliste"/>
        <w:numPr>
          <w:ilvl w:val="0"/>
          <w:numId w:val="2"/>
        </w:numPr>
        <w:rPr>
          <w:b/>
          <w:sz w:val="24"/>
        </w:rPr>
      </w:pPr>
      <w:r w:rsidRPr="00AE243E">
        <w:rPr>
          <w:b/>
          <w:sz w:val="24"/>
          <w:lang w:val="fr-FR"/>
        </w:rPr>
        <w:t>Signature du médecin</w:t>
      </w:r>
      <w:r w:rsidR="00A406C4" w:rsidRPr="00AE243E">
        <w:rPr>
          <w:b/>
          <w:sz w:val="24"/>
          <w:lang w:val="fr-FR"/>
        </w:rPr>
        <w:t> : ________________________________________</w:t>
      </w:r>
      <w:r w:rsidR="00B25C09">
        <w:rPr>
          <w:b/>
          <w:sz w:val="24"/>
          <w:lang w:val="fr-FR"/>
        </w:rPr>
        <w:t>____________________</w:t>
      </w:r>
    </w:p>
    <w:sectPr w:rsidR="00CE64F8" w:rsidRPr="00AE243E" w:rsidSect="00CE78C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 CENA">
    <w:altName w:val="Comic Sans MS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5129"/>
    <w:multiLevelType w:val="hybridMultilevel"/>
    <w:tmpl w:val="39DC402C"/>
    <w:lvl w:ilvl="0" w:tplc="8E90B2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2D05E2"/>
    <w:multiLevelType w:val="hybridMultilevel"/>
    <w:tmpl w:val="21E240A0"/>
    <w:lvl w:ilvl="0" w:tplc="C8F84F9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0570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7571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5360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4408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A7E"/>
    <w:rsid w:val="00022131"/>
    <w:rsid w:val="0002626D"/>
    <w:rsid w:val="00065FE9"/>
    <w:rsid w:val="000B036B"/>
    <w:rsid w:val="000D447A"/>
    <w:rsid w:val="0012449C"/>
    <w:rsid w:val="001A6AA8"/>
    <w:rsid w:val="001D1956"/>
    <w:rsid w:val="001E3166"/>
    <w:rsid w:val="001F16E7"/>
    <w:rsid w:val="00205916"/>
    <w:rsid w:val="00211ECF"/>
    <w:rsid w:val="0025091F"/>
    <w:rsid w:val="002C5D29"/>
    <w:rsid w:val="002D3F96"/>
    <w:rsid w:val="003D0AC6"/>
    <w:rsid w:val="003F61CF"/>
    <w:rsid w:val="003F6A92"/>
    <w:rsid w:val="003F7A7B"/>
    <w:rsid w:val="004128F8"/>
    <w:rsid w:val="00421E40"/>
    <w:rsid w:val="004C7D39"/>
    <w:rsid w:val="004E66ED"/>
    <w:rsid w:val="004F349D"/>
    <w:rsid w:val="004F560D"/>
    <w:rsid w:val="005C7781"/>
    <w:rsid w:val="005D6FB9"/>
    <w:rsid w:val="005E3DD1"/>
    <w:rsid w:val="005F1B78"/>
    <w:rsid w:val="00602B1D"/>
    <w:rsid w:val="00613C2A"/>
    <w:rsid w:val="006537A6"/>
    <w:rsid w:val="0067727F"/>
    <w:rsid w:val="00680C40"/>
    <w:rsid w:val="00697DEF"/>
    <w:rsid w:val="006A3DF1"/>
    <w:rsid w:val="006C4BAB"/>
    <w:rsid w:val="006D1278"/>
    <w:rsid w:val="006E1A7E"/>
    <w:rsid w:val="006F136D"/>
    <w:rsid w:val="00701502"/>
    <w:rsid w:val="00706816"/>
    <w:rsid w:val="00711117"/>
    <w:rsid w:val="00715826"/>
    <w:rsid w:val="0073553E"/>
    <w:rsid w:val="00740F80"/>
    <w:rsid w:val="00741420"/>
    <w:rsid w:val="00744CFF"/>
    <w:rsid w:val="00750E63"/>
    <w:rsid w:val="00776C01"/>
    <w:rsid w:val="007A17B5"/>
    <w:rsid w:val="007A668B"/>
    <w:rsid w:val="007A6C38"/>
    <w:rsid w:val="007B1E4D"/>
    <w:rsid w:val="007B61BB"/>
    <w:rsid w:val="007C1A74"/>
    <w:rsid w:val="00823149"/>
    <w:rsid w:val="00832BD2"/>
    <w:rsid w:val="00843285"/>
    <w:rsid w:val="00843626"/>
    <w:rsid w:val="00867CDE"/>
    <w:rsid w:val="00870AFF"/>
    <w:rsid w:val="00874D02"/>
    <w:rsid w:val="0089374D"/>
    <w:rsid w:val="008A222D"/>
    <w:rsid w:val="008B00E0"/>
    <w:rsid w:val="008B74B9"/>
    <w:rsid w:val="00946688"/>
    <w:rsid w:val="00972889"/>
    <w:rsid w:val="00992864"/>
    <w:rsid w:val="009972CD"/>
    <w:rsid w:val="009D7D30"/>
    <w:rsid w:val="00A15CFD"/>
    <w:rsid w:val="00A406C4"/>
    <w:rsid w:val="00A61E85"/>
    <w:rsid w:val="00A67EE9"/>
    <w:rsid w:val="00AC2AFF"/>
    <w:rsid w:val="00AC69D3"/>
    <w:rsid w:val="00AC7F70"/>
    <w:rsid w:val="00AD7F0F"/>
    <w:rsid w:val="00AE243E"/>
    <w:rsid w:val="00AF182F"/>
    <w:rsid w:val="00B101D4"/>
    <w:rsid w:val="00B25C09"/>
    <w:rsid w:val="00B32D4D"/>
    <w:rsid w:val="00B56124"/>
    <w:rsid w:val="00B72041"/>
    <w:rsid w:val="00B768C4"/>
    <w:rsid w:val="00B9217B"/>
    <w:rsid w:val="00BA3339"/>
    <w:rsid w:val="00BB7F8B"/>
    <w:rsid w:val="00BC407B"/>
    <w:rsid w:val="00C100E3"/>
    <w:rsid w:val="00C452FE"/>
    <w:rsid w:val="00C66F79"/>
    <w:rsid w:val="00C73091"/>
    <w:rsid w:val="00C74912"/>
    <w:rsid w:val="00C871DA"/>
    <w:rsid w:val="00CA430B"/>
    <w:rsid w:val="00CD0D88"/>
    <w:rsid w:val="00CE64F8"/>
    <w:rsid w:val="00CE78CC"/>
    <w:rsid w:val="00D13075"/>
    <w:rsid w:val="00D140AB"/>
    <w:rsid w:val="00D569F9"/>
    <w:rsid w:val="00D56BA0"/>
    <w:rsid w:val="00DA3227"/>
    <w:rsid w:val="00DC6A13"/>
    <w:rsid w:val="00DE096D"/>
    <w:rsid w:val="00E00913"/>
    <w:rsid w:val="00E16D32"/>
    <w:rsid w:val="00E32BB8"/>
    <w:rsid w:val="00E34025"/>
    <w:rsid w:val="00E4361C"/>
    <w:rsid w:val="00E63DF7"/>
    <w:rsid w:val="00E73A7E"/>
    <w:rsid w:val="00E90414"/>
    <w:rsid w:val="00E909F9"/>
    <w:rsid w:val="00E95612"/>
    <w:rsid w:val="00EA5417"/>
    <w:rsid w:val="00EB60B9"/>
    <w:rsid w:val="00EC63E6"/>
    <w:rsid w:val="00EE00A1"/>
    <w:rsid w:val="00EE3FDA"/>
    <w:rsid w:val="00EE4068"/>
    <w:rsid w:val="00EE72FB"/>
    <w:rsid w:val="00F23355"/>
    <w:rsid w:val="00F2710A"/>
    <w:rsid w:val="00F77BA9"/>
    <w:rsid w:val="00F835BB"/>
    <w:rsid w:val="00FC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6946"/>
  <w15:docId w15:val="{F1E6F985-CDA8-4242-8BC0-8B66602D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7E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A7E"/>
    <w:pPr>
      <w:ind w:left="720"/>
    </w:pPr>
  </w:style>
  <w:style w:type="character" w:styleId="Lienhypertexte">
    <w:name w:val="Hyperlink"/>
    <w:basedOn w:val="Policepardfaut"/>
    <w:uiPriority w:val="99"/>
    <w:semiHidden/>
    <w:unhideWhenUsed/>
    <w:rsid w:val="00DA3227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A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A3227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Mirna Saadeh</cp:lastModifiedBy>
  <cp:revision>5</cp:revision>
  <cp:lastPrinted>2020-02-15T16:29:00Z</cp:lastPrinted>
  <dcterms:created xsi:type="dcterms:W3CDTF">2020-02-18T00:49:00Z</dcterms:created>
  <dcterms:modified xsi:type="dcterms:W3CDTF">2024-03-12T23:39:00Z</dcterms:modified>
</cp:coreProperties>
</file>